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74925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625-т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4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приложение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6-т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596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обществу с ограниченной ответственностью Энергетическая Компания «Тепло-Водо-Электро-Сервис» тарифов на горячую воду в открытых системах теплоснабжения (горячего водоснабжения) для расчетов </w:t>
        <w:br/>
        <w:t xml:space="preserve">с потребителями села Красноселькуп муниципального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образования муниципальный округ Красноселькупский район Ямало-Ненецкого автономного округа, на 2022 - 2029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ится 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596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№ 1 изложить в следующей редакции: </w:t>
      </w:r>
      <w:r>
        <w:rPr>
          <w:rFonts w:ascii="Liberation Sans" w:hAnsi="Liberation Sans" w:cs="Liberation Sans"/>
        </w:rPr>
      </w:r>
      <w:r/>
    </w:p>
    <w:p>
      <w:pPr>
        <w:pStyle w:val="826"/>
        <w:ind w:left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920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</w:t>
      </w:r>
      <w:r>
        <w:rPr>
          <w:rFonts w:ascii="Liberation Sans" w:hAnsi="Liberation Sans" w:cs="Liberation Sans"/>
        </w:rPr>
        <w:t xml:space="preserve"> № 1</w:t>
      </w:r>
      <w:r/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</w:t>
      </w:r>
      <w:r>
        <w:rPr>
          <w:rFonts w:ascii="Liberation Sans" w:hAnsi="Liberation Sans" w:eastAsia="Liberation Serif" w:cs="Liberation Sans"/>
        </w:rPr>
        <w:t xml:space="preserve">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596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204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6"/>
        <w:ind w:left="9204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</w:rPr>
        <w:t xml:space="preserve">ТАРИФЫ НА ГОРЯЧУЮ ВОДУ В ОТКРЫТЫХ СИСТЕМАХ ТЕПЛОСНАБЖЕНИЯ (ГОРЯЧЕГО ВОДОСНАБЖЕНИЯ), УСТАНОВЛЕННЫЕ ОБЩЕСТВУ С ОГРАНИЧЕННОЙ ОТВЕТСТВЕННОСТЬЮ ЭНЕРГЕТИЧЕСКАЯ КОМПАНИЯ </w:t>
      </w:r>
      <w:r>
        <w:rPr>
          <w:rFonts w:ascii="Liberation Sans" w:hAnsi="Liberation Sans" w:cs="Liberation Sans"/>
          <w:b w:val="0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</w:rPr>
        <w:t xml:space="preserve">«ТЕПЛО-ВОДО-ЭЛЕКТРО-СЕРВИС» </w:t>
      </w:r>
      <w:r>
        <w:rPr>
          <w:rFonts w:ascii="Liberation Sans" w:hAnsi="Liberation Sans" w:eastAsia="Liberation Serif" w:cs="Liberation Sans"/>
          <w:b w:val="0"/>
        </w:rPr>
        <w:t xml:space="preserve">ДЛЯ РАСЧЕТОВ С ПОТРЕБИТЕЛЯМИ СЕЛА КРАСНОСЕЛЬКУП МУНИЦИПАЛЬНОГО ОБ</w:t>
      </w:r>
      <w:r>
        <w:rPr>
          <w:rFonts w:ascii="Liberation Sans" w:hAnsi="Liberation Sans" w:eastAsia="Liberation Serif" w:cs="Liberation Sans"/>
          <w:b w:val="0"/>
        </w:rPr>
        <w:t xml:space="preserve">РАЗОВАНИЯ </w:t>
      </w:r>
      <w:r>
        <w:rPr>
          <w:rFonts w:ascii="Liberation Sans" w:hAnsi="Liberation Sans" w:eastAsia="Liberation Serif" w:cs="Liberation Sans"/>
          <w:b w:val="0"/>
        </w:rPr>
        <w:t xml:space="preserve">МУНИЦИПАЛЬНЫЙ ОКРУГ КРАСНОСЕЛЬКУПСКИЙ РАЙОН ЯМАЛО-НЕНЕЦКОГО АВТОНОМНОГО ОКРУГА, 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</w:rPr>
        <w:t xml:space="preserve">НА 2</w:t>
      </w:r>
      <w:bookmarkStart w:id="1" w:name="_GoBack"/>
      <w:r>
        <w:rPr>
          <w:rFonts w:ascii="Liberation Sans" w:hAnsi="Liberation Sans" w:eastAsia="Liberation Serif" w:cs="Liberation Sans"/>
        </w:rPr>
      </w:r>
      <w:bookmarkEnd w:id="1"/>
      <w:r>
        <w:rPr>
          <w:rFonts w:ascii="Liberation Sans" w:hAnsi="Liberation Sans" w:eastAsia="Liberation Serif" w:cs="Liberation Sans"/>
          <w:b w:val="0"/>
        </w:rPr>
        <w:t xml:space="preserve">022 – 2029 ГОДЫ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tbl>
      <w:tblPr>
        <w:tblpPr w:horzAnchor="margin" w:tblpXSpec="center" w:vertAnchor="text" w:tblpY="151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"/>
        <w:gridCol w:w="2379"/>
        <w:gridCol w:w="2038"/>
        <w:gridCol w:w="2440"/>
        <w:gridCol w:w="2449"/>
        <w:gridCol w:w="2464"/>
        <w:gridCol w:w="2268"/>
      </w:tblGrid>
      <w:tr>
        <w:trPr>
          <w:cantSplit/>
          <w:trHeight w:val="56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17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теплоноситель</w:t>
            </w:r>
            <w:r>
              <w:rPr>
                <w:rFonts w:ascii="Liberation Sans" w:hAnsi="Liberation Sans" w:eastAsia="Liberation Serif" w:cs="Liberation Sans"/>
                <w:color w:val="1f497d"/>
                <w:sz w:val="24"/>
                <w:szCs w:val="22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руб./куб. м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тепловую энергию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Одноставочный,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руб./Гкал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6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Двухставочный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Ставка за мощность, тыс. руб./Гкал/час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в мес.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Ставка за тепловую энергию,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04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Иные 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2"/>
              </w:rPr>
              <w:t xml:space="preserve">Общество с ограниченной ответственностью Энергетическая Компания «Тепло-Водо-Электро-Сервис»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552,18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1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552,18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535,73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535,73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6744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612,17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6863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678,69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7451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678,69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7451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752,43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8088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752,43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8088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834,19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834,19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924,82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924,82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1025,31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10347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7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outlineLvl w:val="0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Потребители, имеющие право на льготные тарифы </w:t>
            </w:r>
            <w:hyperlink r:id="rId10" w:tooltip="consultantplus://offline/ref=76E5AF8FFCC0E56A69ADF5D3AB7834181639D5640599E001CDE19EA8FEADA31FB39B2047CFB08F464933AFs4MF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54,00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6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4004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Население </w:t>
            </w:r>
            <w:hyperlink r:id="rId11" w:tooltip="consultantplus://offline/ref=48977515256B0848E4C011BCB47C3CB5985371030FA63D9F943DFD833746B068BEEF49FB49B7D04F6D1340s6QA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(тарифы указываются с учетом НДС) </w:t>
            </w:r>
            <w:hyperlink r:id="rId12" w:tooltip="consultantplus://offline/ref=48977515256B0848E4C011BCB47C3CB5985371030FA63D9F943DFD833746B068BEEF49FB49B7D04F6D1340s6QB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64,80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ind w:left="0" w:right="0" w:firstLine="708"/>
        <w:jc w:val="left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</w:rPr>
        <w:t xml:space="preserve">&lt;*&gt; В случае неутверждения тарифа на теплоноситель в отношении источника тепловой энергии примен</w:t>
      </w:r>
      <w:r>
        <w:rPr>
          <w:rFonts w:ascii="Liberation Sans" w:hAnsi="Liberation Sans" w:eastAsia="Liberation Serif" w:cs="Liberation Sans"/>
        </w:rPr>
        <w:t xml:space="preserve">яется расчетная стоимость 1 куб. м воды.</w:t>
      </w:r>
      <w:r>
        <w:rPr>
          <w:rFonts w:ascii="Liberation Sans" w:hAnsi="Liberation Sans" w:eastAsia="Liberation Serif" w:cs="Liberation Sans"/>
        </w:rPr>
      </w:r>
      <w:r/>
    </w:p>
    <w:p>
      <w:pPr>
        <w:contextualSpacing/>
        <w:ind w:left="0" w:right="0" w:firstLine="708"/>
        <w:jc w:val="both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Потребители, имеющие право на льготные тарифы в сфере водоснабжения,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"consultantplus://offline/ref=BC4FDCB53AB2EC8B14B6B3AE8120CF99E618AD28C81A94C69A1C057EC095CEE9BB73B2CF9B88F0D7DA4765HEQ0F"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пунктах 2 - 4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от 01 декабря 2014 года № 107-ЗАО «Об установлении отдельных категорий потребителей коммунальных ресурсов и коммунал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</w:rPr>
      </w:r>
      <w:r/>
    </w:p>
    <w:p>
      <w:pPr>
        <w:pStyle w:val="826"/>
        <w:ind w:firstLine="540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Потребители, имеющие право на льготные тарифы в сфере водоснабжения,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"consultantplus://offline/ref=BC4FDCB53AB2EC8B14B6B3AE8120CF99E618AD28C81A94C69A1C057EC095CEE9BB73B2CF9B88F0D7DA4765HEQFF"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пункте 1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от 01 декабря 2014 года № 107-ЗАО «Об установлении отдельных категорий потребителей коммунальных ресурсов и коммунальн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contextualSpacing/>
        <w:ind w:left="0" w:right="0" w:firstLine="709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Выделяется в целях реализации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"consultantplus://offline/ref=BC4FDCB53AB2EC8B14B6ADA3974C9894E114F221CB1B9993C6435E23979CC4BEFC3CEB8DDF85F5D1HDQDF"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 6 статьи 168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кодекса Российской Федерации (часть вторая).                                                  </w:t>
      </w:r>
      <w:r>
        <w:rPr>
          <w:rFonts w:ascii="Liberation Sans" w:hAnsi="Liberation Sans" w:eastAsia="Liberation Serif" w:cs="Liberation Sans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0" w:right="0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0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76E5AF8FFCC0E56A69ADF5D3AB7834181639D5640599E001CDE19EA8FEADA31FB39B2047CFB08F464933AFs4MFF" TargetMode="External"/><Relationship Id="rId11" Type="http://schemas.openxmlformats.org/officeDocument/2006/relationships/hyperlink" Target="consultantplus://offline/ref=48977515256B0848E4C011BCB47C3CB5985371030FA63D9F943DFD833746B068BEEF49FB49B7D04F6D1340s6QAF" TargetMode="External"/><Relationship Id="rId12" Type="http://schemas.openxmlformats.org/officeDocument/2006/relationships/hyperlink" Target="consultantplus://offline/ref=48977515256B0848E4C011BCB47C3CB5985371030FA63D9F943DFD833746B068BEEF49FB49B7D04F6D1340s6QB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2023-12-17T10:21:57Z</dcterms:modified>
</cp:coreProperties>
</file>